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sz w:val="20"/>
        </w:rPr>
        <w:drawing>
          <wp:inline distT="0" distB="0" distL="0" distR="0">
            <wp:extent cx="2358390" cy="848995"/>
            <wp:effectExtent l="0" t="0" r="7620" b="0"/>
            <wp:docPr id="9" name="Picture 1" descr="C:\Working Copies\LOGOS\footprints_logo_modifiedAugust2013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Alix/Library/Group Containers/L48J367XN4.com.infraware.PolarisOffice/EngineTemp/8712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84899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Privacy Policy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We take the protection of your personal data very seriously. This is why it is important for us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to identify how we process your personal data and the controls that you have over this.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This privacy policy sets out what personal data we will collect from you, how we collect it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and our reasons for doing so.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By accessing and using our website you agree to the terms of this policy. Any amendments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to this policy will be identified on this page. By continuing to use our website after these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amendments have been made you agree to the terms of the revised policy.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1. DataController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The data controller of the personal data that we process for you is “The Footprints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Foundation” at 37 St Georges Road, Cheltenham GL50 3NU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2. What personal data we collect from you and how do we collect it?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2"/>
          <w:szCs w:val="22"/>
          <w:rFonts w:ascii="Arial" w:eastAsia="Arial" w:hAnsi="Arial" w:hint="default"/>
        </w:rPr>
        <w:t>Volunteers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When you request to be a volunteer on one of our international projects we will collect the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following personal data from you: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Personal details, including your name, email address; medical information via questionnaire: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passport details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Contact details, including your address and your phone number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Patrons Programme sponsors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When you agree to become a Patron or Friend of our Patrons Programme we will collect the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following personal data from you: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Personal details, including your work, name, email address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3. Why do we collect your personal data?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We will only use personal data from you in the following ways: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To contact you with information and updates on the volunteer project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To ensure you are fit and able to take part in the volunteer project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To ensure we have the correct details when booking flights for volunteers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To keep you informed of progress of the Patrons Programme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4. The General Data Protection Regulation – our obligations to you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Under the General Data Protection Regulation (GDPR), we have a legal obligation to protect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any personal data that we process. To this end we will only use your personal data for the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purposes we have described above.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As part of our commitment to protecting your personal data, we will: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left="360" w:hanging="36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keep your personal data confidential at all times, 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right="0" w:left="360" w:hanging="36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hold your personal data only for the duration of your volunteer project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5. Sharing your personal data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We will never share your personal data with third parties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6. Your rights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You have the right to:</w:t>
      </w:r>
    </w:p>
    <w:p>
      <w:pPr>
        <w:pStyle w:val="PO26"/>
        <w:numPr>
          <w:ilvl w:val="0"/>
          <w:numId w:val="2"/>
        </w:numPr>
        <w:jc w:val="left"/>
        <w:spacing w:lineRule="auto" w:line="240" w:before="0" w:after="0"/>
        <w:contextualSpacing w:val="1"/>
        <w:ind w:right="0" w:left="360" w:hanging="36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request a copy of the personal data that we hold for you,</w:t>
      </w:r>
    </w:p>
    <w:p>
      <w:pPr>
        <w:pStyle w:val="PO26"/>
        <w:numPr>
          <w:ilvl w:val="0"/>
          <w:numId w:val="2"/>
        </w:numPr>
        <w:jc w:val="left"/>
        <w:spacing w:lineRule="auto" w:line="240" w:before="0" w:after="0"/>
        <w:contextualSpacing w:val="1"/>
        <w:ind w:right="0" w:left="360" w:hanging="36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let us know if there are any errors in the personal data that we hold for you,</w:t>
      </w:r>
    </w:p>
    <w:p>
      <w:pPr>
        <w:pStyle w:val="PO26"/>
        <w:numPr>
          <w:ilvl w:val="0"/>
          <w:numId w:val="2"/>
        </w:numPr>
        <w:jc w:val="left"/>
        <w:spacing w:lineRule="auto" w:line="240" w:before="0" w:after="0"/>
        <w:contextualSpacing w:val="1"/>
        <w:ind w:right="0" w:left="360" w:hanging="36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request us to delete any of the personal data that we hold for you,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Please email us at info@thefootprintsfoundation.co.uk (link sends e-mail) to let us know.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If you are not happy about the way in which we have processed your personal data, please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email us at info@thefootprintsfoundation.co.uk (link sends e-mail) to let us know and we will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try to rectify this to your satisfaction.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Alternatively, if you wish to lodge a complaint with the Information Commissioner’s Office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(ICO), you should call the ICO helpline on 0303 123 1113 or report your concern on the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ICO’s website at https://ico.org.uk/concerns/ (link is external).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513"/>
        <w:tab w:val="right" w:pos="9026"/>
      </w:tabs>
      <w:rPr>
        <w:color w:val="auto"/>
        <w:position w:val="0"/>
        <w:sz w:val="22"/>
        <w:szCs w:val="22"/>
        <w:rFonts w:ascii="Calibri" w:eastAsia="Calibri" w:hAnsi="Calibri" w:hint="default"/>
      </w:rPr>
      <w:snapToGrid w:val="on"/>
      <w:autoSpaceDE w:val="1"/>
      <w:autoSpaceDN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right"/>
      <w:spacing w:lineRule="auto" w:line="240" w:before="0" w:after="0"/>
      <w:ind w:right="0" w:firstLine="0"/>
      <w:tabs>
        <w:tab w:val="center" w:pos="4513"/>
        <w:tab w:val="right" w:pos="9026"/>
      </w:tabs>
      <w:rPr>
        <w:b w:val="1"/>
        <w:color w:val="auto"/>
        <w:position w:val="0"/>
        <w:sz w:val="16"/>
        <w:szCs w:val="16"/>
        <w:rFonts w:ascii="Arial" w:eastAsia="Arial" w:hAnsi="Arial" w:hint="default"/>
      </w:rPr>
      <w:snapToGrid w:val="on"/>
      <w:autoSpaceDE w:val="1"/>
      <w:autoSpaceDN w:val="1"/>
    </w:pPr>
    <w:r>
      <w:rPr>
        <w:b w:val="1"/>
        <w:color w:val="auto"/>
        <w:position w:val="0"/>
        <w:sz w:val="16"/>
        <w:szCs w:val="16"/>
        <w:rFonts w:ascii="Arial" w:eastAsia="Arial" w:hAnsi="Arial" w:hint="default"/>
      </w:rPr>
      <w:t xml:space="preserve">Registered office: The Footprints Foundation, c/o Camberleigh-Hay LLP, 37 St Georges Road, Cheltenham GL50 3DU     </w:t>
    </w:r>
  </w:p>
  <w:p>
    <w:pPr>
      <w:pStyle w:val="PO153"/>
      <w:numPr>
        <w:ilvl w:val="0"/>
        <w:numId w:val="0"/>
      </w:numPr>
      <w:jc w:val="right"/>
      <w:spacing w:lineRule="auto" w:line="240" w:before="0" w:after="0"/>
      <w:ind w:right="0" w:firstLine="0"/>
      <w:tabs>
        <w:tab w:val="center" w:pos="4513"/>
        <w:tab w:val="right" w:pos="9026"/>
      </w:tabs>
      <w:rPr>
        <w:b w:val="1"/>
        <w:color w:val="auto"/>
        <w:position w:val="0"/>
        <w:sz w:val="16"/>
        <w:szCs w:val="16"/>
        <w:rFonts w:ascii="Arial" w:eastAsia="Arial" w:hAnsi="Arial" w:hint="default"/>
      </w:rPr>
      <w:snapToGrid w:val="on"/>
      <w:autoSpaceDE w:val="1"/>
      <w:autoSpaceDN w:val="1"/>
    </w:pPr>
    <w:r>
      <w:rPr>
        <w:b w:val="1"/>
        <w:color w:val="auto"/>
        <w:position w:val="0"/>
        <w:sz w:val="16"/>
        <w:szCs w:val="16"/>
        <w:rFonts w:ascii="Arial" w:eastAsia="Arial" w:hAnsi="Arial" w:hint="default"/>
      </w:rPr>
      <w:t xml:space="preserve">Charity Number 1125419</w:t>
    </w:r>
  </w:p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513"/>
        <w:tab w:val="right" w:pos="9026"/>
      </w:tabs>
      <w:rPr>
        <w:color w:val="auto"/>
        <w:position w:val="0"/>
        <w:sz w:val="22"/>
        <w:szCs w:val="22"/>
        <w:rFonts w:ascii="Calibri" w:eastAsia="Calibri" w:hAnsi="Calibri" w:hint="default"/>
      </w:rPr>
      <w:snapToGrid w:val="on"/>
      <w:autoSpaceDE w:val="1"/>
      <w:autoSpaceDN w:val="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513"/>
        <w:tab w:val="right" w:pos="9026"/>
      </w:tabs>
      <w:rPr>
        <w:color w:val="auto"/>
        <w:position w:val="0"/>
        <w:sz w:val="22"/>
        <w:szCs w:val="22"/>
        <w:rFonts w:ascii="Calibri" w:eastAsia="Calibri" w:hAnsi="Calibri" w:hint="default"/>
      </w:rPr>
      <w:snapToGrid w:val="on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513"/>
        <w:tab w:val="right" w:pos="9026"/>
      </w:tabs>
      <w:rPr>
        <w:color w:val="auto"/>
        <w:position w:val="0"/>
        <w:sz w:val="22"/>
        <w:szCs w:val="22"/>
        <w:rFonts w:ascii="Calibri" w:eastAsia="Calibri" w:hAnsi="Calibri" w:hint="default"/>
      </w:rPr>
      <w:snapToGrid w:val="on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513"/>
        <w:tab w:val="right" w:pos="9026"/>
      </w:tabs>
      <w:rPr>
        <w:color w:val="auto"/>
        <w:position w:val="0"/>
        <w:sz w:val="22"/>
        <w:szCs w:val="22"/>
        <w:rFonts w:ascii="Calibri" w:eastAsia="Calibri" w:hAnsi="Calibri" w:hint="default"/>
      </w:rPr>
      <w:snapToGrid w:val="on"/>
      <w:autoSpaceDE w:val="1"/>
      <w:autoSpaceDN w:val="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513"/>
        <w:tab w:val="right" w:pos="9026"/>
      </w:tabs>
      <w:rPr>
        <w:color w:val="auto"/>
        <w:position w:val="0"/>
        <w:sz w:val="22"/>
        <w:szCs w:val="22"/>
        <w:rFonts w:ascii="Calibri" w:eastAsia="Calibri" w:hAnsi="Calibri" w:hint="default"/>
      </w:rPr>
      <w:snapToGrid w:val="on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0D63AF1"/>
    <w:lvl w:ilvl="0">
      <w:lvlJc w:val="left"/>
      <w:numFmt w:val="bullet"/>
      <w:start w:val="1"/>
      <w:suff w:val="tab"/>
      <w:pPr>
        <w:ind w:left="3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60B7ACD9"/>
    <w:lvl w:ilvl="0">
      <w:lvlJc w:val="left"/>
      <w:numFmt w:val="bullet"/>
      <w:start w:val="1"/>
      <w:suff w:val="tab"/>
      <w:pPr>
        <w:ind w:left="3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163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header" Target="header2.xml"></Relationship><Relationship Id="rId7" Type="http://schemas.openxmlformats.org/officeDocument/2006/relationships/header" Target="header3.xml"></Relationship><Relationship Id="rId8" Type="http://schemas.openxmlformats.org/officeDocument/2006/relationships/footer" Target="footer5.xml"></Relationship><Relationship Id="rId9" Type="http://schemas.openxmlformats.org/officeDocument/2006/relationships/footer" Target="footer6.xml"></Relationship><Relationship Id="rId10" Type="http://schemas.openxmlformats.org/officeDocument/2006/relationships/header" Target="header4.xml"></Relationship><Relationship Id="rId11" Type="http://schemas.openxmlformats.org/officeDocument/2006/relationships/footer" Target="footer7.xml"></Relationship><Relationship Id="rId12" Type="http://schemas.openxmlformats.org/officeDocument/2006/relationships/numbering" Target="numbering.xml"></Relationship><Relationship Id="rId13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3089</Characters>
  <CharactersWithSpaces>0</CharactersWithSpaces>
  <Company>Mears Group Plc</Company>
  <DocSecurity>0</DocSecurity>
  <HyperlinksChanged>false</HyperlinksChanged>
  <Lines>21</Lines>
  <LinksUpToDate>false</LinksUpToDate>
  <Pages>2</Pages>
  <Paragraphs>6</Paragraphs>
  <Words>461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Jane Tappenden</dc:creator>
  <cp:lastModifiedBy/>
  <dcterms:modified xsi:type="dcterms:W3CDTF">2018-05-29T13:20:00Z</dcterms:modified>
</cp:coreProperties>
</file>